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63" w:rsidRPr="00344DE8" w:rsidRDefault="001B5C63" w:rsidP="001B5C63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1B5C63" w:rsidRPr="00344DE8" w:rsidRDefault="001B5C63" w:rsidP="001B5C63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1B5C63" w:rsidRPr="00344DE8" w:rsidRDefault="001B5C63" w:rsidP="001B5C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Художественное  </w:t>
      </w:r>
      <w:r w:rsidRPr="00344DE8">
        <w:rPr>
          <w:rFonts w:ascii="Times New Roman" w:hAnsi="Times New Roman"/>
          <w:b/>
          <w:sz w:val="28"/>
          <w:szCs w:val="28"/>
        </w:rPr>
        <w:t>отделение</w:t>
      </w:r>
    </w:p>
    <w:p w:rsidR="001B5C63" w:rsidRPr="00344DE8" w:rsidRDefault="001B5C63" w:rsidP="001B5C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5C63" w:rsidRPr="00344DE8" w:rsidRDefault="001B5C63" w:rsidP="001B5C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-486927</wp:posOffset>
            </wp:positionH>
            <wp:positionV relativeFrom="paragraph">
              <wp:posOffset>221689</wp:posOffset>
            </wp:positionV>
            <wp:extent cx="1926708" cy="1701209"/>
            <wp:effectExtent l="19050" t="0" r="0" b="0"/>
            <wp:wrapNone/>
            <wp:docPr id="5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708" cy="170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5C63" w:rsidRPr="00344DE8" w:rsidRDefault="001B5C63" w:rsidP="001B5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1B5C63" w:rsidRPr="00344DE8" w:rsidRDefault="001B5C63" w:rsidP="001B5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1B5C63" w:rsidRPr="00344DE8" w:rsidRDefault="001B5C63" w:rsidP="001B5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1B5C63" w:rsidRPr="00344DE8" w:rsidRDefault="001B5C63" w:rsidP="001B5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1B5C63" w:rsidRPr="00344DE8" w:rsidRDefault="001B5C63" w:rsidP="001B5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1B5C63" w:rsidRPr="00C9159D" w:rsidRDefault="001B5C63" w:rsidP="001B5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1B5C63" w:rsidRPr="00C9159D" w:rsidRDefault="001B5C63" w:rsidP="001B5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1B5C63" w:rsidRPr="00C9159D" w:rsidRDefault="001B5C63" w:rsidP="001B5C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7" w:rsidRPr="0055013D" w:rsidRDefault="00F323BB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  <w:r w:rsidR="00645050" w:rsidRPr="0055013D">
        <w:rPr>
          <w:rFonts w:ascii="Times New Roman" w:hAnsi="Times New Roman"/>
          <w:b/>
          <w:sz w:val="28"/>
          <w:szCs w:val="28"/>
        </w:rPr>
        <w:t>ОБЩЕ</w:t>
      </w:r>
      <w:r w:rsidR="00D67854" w:rsidRPr="0055013D">
        <w:rPr>
          <w:rFonts w:ascii="Times New Roman" w:hAnsi="Times New Roman"/>
          <w:b/>
          <w:sz w:val="28"/>
          <w:szCs w:val="28"/>
        </w:rPr>
        <w:t>ОБРАЗОВАТЕЛЬНАЯ</w:t>
      </w:r>
      <w:r w:rsidR="000226B7" w:rsidRPr="0055013D">
        <w:rPr>
          <w:rFonts w:ascii="Times New Roman" w:hAnsi="Times New Roman"/>
          <w:b/>
          <w:sz w:val="28"/>
          <w:szCs w:val="28"/>
        </w:rPr>
        <w:t xml:space="preserve"> ПРОГРАММА</w:t>
      </w:r>
      <w:r w:rsidR="00645050" w:rsidRPr="0055013D"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645050" w:rsidRPr="0055013D" w:rsidRDefault="0064505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645050" w:rsidRDefault="0064505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866800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D67854" w:rsidRPr="00954909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57" w:rsidRPr="00954909" w:rsidRDefault="00DD6E5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Pr="00954909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>ПРИМЕРНАЯ ПРОГРАММА</w:t>
      </w:r>
      <w:r w:rsidR="00510125" w:rsidRPr="00954909">
        <w:rPr>
          <w:rFonts w:ascii="Times New Roman" w:hAnsi="Times New Roman"/>
          <w:b/>
          <w:sz w:val="40"/>
          <w:szCs w:val="40"/>
        </w:rPr>
        <w:t xml:space="preserve"> </w:t>
      </w:r>
    </w:p>
    <w:p w:rsidR="00510125" w:rsidRPr="00954909" w:rsidRDefault="003A14D4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 xml:space="preserve">по </w:t>
      </w:r>
      <w:r w:rsidR="00305D15" w:rsidRPr="00954909">
        <w:rPr>
          <w:rFonts w:ascii="Times New Roman" w:hAnsi="Times New Roman"/>
          <w:b/>
          <w:sz w:val="40"/>
          <w:szCs w:val="40"/>
        </w:rPr>
        <w:t>у</w:t>
      </w:r>
      <w:r w:rsidRPr="00954909">
        <w:rPr>
          <w:rFonts w:ascii="Times New Roman" w:hAnsi="Times New Roman"/>
          <w:b/>
          <w:sz w:val="40"/>
          <w:szCs w:val="40"/>
        </w:rPr>
        <w:t>чебному</w:t>
      </w:r>
      <w:r w:rsidR="00976F7B" w:rsidRPr="00954909">
        <w:rPr>
          <w:rFonts w:ascii="Times New Roman" w:hAnsi="Times New Roman"/>
          <w:b/>
          <w:sz w:val="40"/>
          <w:szCs w:val="40"/>
        </w:rPr>
        <w:t xml:space="preserve"> предмет</w:t>
      </w:r>
      <w:r w:rsidRPr="00954909">
        <w:rPr>
          <w:rFonts w:ascii="Times New Roman" w:hAnsi="Times New Roman"/>
          <w:b/>
          <w:sz w:val="40"/>
          <w:szCs w:val="40"/>
        </w:rPr>
        <w:t>у</w:t>
      </w:r>
    </w:p>
    <w:p w:rsidR="006F744A" w:rsidRPr="00954909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54909">
        <w:rPr>
          <w:rFonts w:ascii="Times New Roman" w:hAnsi="Times New Roman"/>
          <w:b/>
          <w:sz w:val="42"/>
          <w:szCs w:val="42"/>
        </w:rPr>
        <w:t>ПО.01.УП.0</w:t>
      </w:r>
      <w:r w:rsidR="00373D0D" w:rsidRPr="00954909">
        <w:rPr>
          <w:rFonts w:ascii="Times New Roman" w:hAnsi="Times New Roman"/>
          <w:b/>
          <w:sz w:val="42"/>
          <w:szCs w:val="42"/>
        </w:rPr>
        <w:t>1</w:t>
      </w:r>
      <w:r w:rsidR="00E2122C" w:rsidRPr="00954909">
        <w:rPr>
          <w:rFonts w:ascii="Times New Roman" w:hAnsi="Times New Roman"/>
          <w:b/>
          <w:sz w:val="42"/>
          <w:szCs w:val="42"/>
        </w:rPr>
        <w:t>.</w:t>
      </w:r>
      <w:r w:rsidR="00510125" w:rsidRPr="00954909">
        <w:rPr>
          <w:rFonts w:ascii="Times New Roman" w:hAnsi="Times New Roman"/>
          <w:b/>
          <w:sz w:val="42"/>
          <w:szCs w:val="42"/>
        </w:rPr>
        <w:t>,</w:t>
      </w:r>
      <w:r w:rsidR="00296F98" w:rsidRPr="00954909">
        <w:rPr>
          <w:rFonts w:ascii="Times New Roman" w:hAnsi="Times New Roman"/>
          <w:b/>
          <w:sz w:val="42"/>
          <w:szCs w:val="42"/>
        </w:rPr>
        <w:t xml:space="preserve"> </w:t>
      </w:r>
      <w:r w:rsidR="006F744A" w:rsidRPr="00954909">
        <w:rPr>
          <w:rFonts w:ascii="Times New Roman" w:hAnsi="Times New Roman"/>
          <w:b/>
          <w:sz w:val="42"/>
          <w:szCs w:val="42"/>
        </w:rPr>
        <w:t>ПО.01.УП.0</w:t>
      </w:r>
      <w:r w:rsidR="00373D0D" w:rsidRPr="00954909">
        <w:rPr>
          <w:rFonts w:ascii="Times New Roman" w:hAnsi="Times New Roman"/>
          <w:b/>
          <w:sz w:val="42"/>
          <w:szCs w:val="42"/>
        </w:rPr>
        <w:t>4</w:t>
      </w:r>
      <w:r w:rsidR="004A504F" w:rsidRPr="00954909">
        <w:rPr>
          <w:rFonts w:ascii="Times New Roman" w:hAnsi="Times New Roman"/>
          <w:b/>
          <w:sz w:val="42"/>
          <w:szCs w:val="42"/>
        </w:rPr>
        <w:t>.</w:t>
      </w:r>
    </w:p>
    <w:p w:rsidR="00976F7B" w:rsidRPr="00954909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54909">
        <w:rPr>
          <w:rFonts w:ascii="Times New Roman" w:hAnsi="Times New Roman"/>
          <w:b/>
          <w:sz w:val="42"/>
          <w:szCs w:val="42"/>
        </w:rPr>
        <w:t>РИСУНОК</w:t>
      </w:r>
    </w:p>
    <w:p w:rsidR="00D67854" w:rsidRPr="00976F7B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0125" w:rsidRDefault="00510125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D15" w:rsidRPr="00866800" w:rsidRDefault="00305D15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854" w:rsidRPr="00C6053D" w:rsidRDefault="00207ED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</w:t>
      </w:r>
      <w:r w:rsidR="00D67854" w:rsidRPr="00C6053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595F77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Разработчики</w:t>
      </w:r>
      <w:r w:rsidR="00772493">
        <w:rPr>
          <w:rFonts w:ascii="Times New Roman" w:hAnsi="Times New Roman"/>
          <w:sz w:val="28"/>
          <w:szCs w:val="28"/>
        </w:rPr>
        <w:t>:</w:t>
      </w:r>
    </w:p>
    <w:p w:rsidR="003E5315" w:rsidRDefault="00772493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00">
        <w:rPr>
          <w:rFonts w:ascii="Times New Roman" w:hAnsi="Times New Roman"/>
          <w:b/>
          <w:sz w:val="28"/>
          <w:szCs w:val="28"/>
        </w:rPr>
        <w:t>А.Ю.</w:t>
      </w:r>
      <w:r w:rsidRPr="00CF4AE1">
        <w:rPr>
          <w:rFonts w:ascii="Times New Roman" w:hAnsi="Times New Roman"/>
          <w:b/>
          <w:sz w:val="28"/>
          <w:szCs w:val="28"/>
        </w:rPr>
        <w:t>Анохин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4AE1">
        <w:rPr>
          <w:rFonts w:ascii="Times New Roman" w:hAnsi="Times New Roman"/>
          <w:sz w:val="28"/>
          <w:szCs w:val="28"/>
        </w:rPr>
        <w:t>директор Орловск</w:t>
      </w:r>
      <w:r>
        <w:rPr>
          <w:rFonts w:ascii="Times New Roman" w:hAnsi="Times New Roman"/>
          <w:sz w:val="28"/>
          <w:szCs w:val="28"/>
        </w:rPr>
        <w:t>ой</w:t>
      </w:r>
      <w:r w:rsidRPr="00CF4AE1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ой</w:t>
      </w:r>
      <w:r w:rsidRPr="00CF4AE1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CF4AE1">
        <w:rPr>
          <w:rFonts w:ascii="Times New Roman" w:hAnsi="Times New Roman"/>
          <w:sz w:val="28"/>
          <w:szCs w:val="28"/>
        </w:rPr>
        <w:t xml:space="preserve"> изобразительн</w:t>
      </w:r>
      <w:r>
        <w:rPr>
          <w:rFonts w:ascii="Times New Roman" w:hAnsi="Times New Roman"/>
          <w:sz w:val="28"/>
          <w:szCs w:val="28"/>
        </w:rPr>
        <w:t>ых искусств и народных ремесел,</w:t>
      </w:r>
      <w:r w:rsidRPr="00CF4AE1">
        <w:rPr>
          <w:rFonts w:ascii="Times New Roman" w:hAnsi="Times New Roman"/>
          <w:sz w:val="28"/>
          <w:szCs w:val="28"/>
        </w:rPr>
        <w:t xml:space="preserve"> преподаватель</w:t>
      </w:r>
      <w:r>
        <w:rPr>
          <w:rFonts w:ascii="Times New Roman" w:hAnsi="Times New Roman"/>
          <w:sz w:val="28"/>
          <w:szCs w:val="28"/>
        </w:rPr>
        <w:t>, п</w:t>
      </w:r>
      <w:r w:rsidRPr="00CF4AE1">
        <w:rPr>
          <w:rFonts w:ascii="Times New Roman" w:hAnsi="Times New Roman"/>
          <w:sz w:val="28"/>
          <w:szCs w:val="28"/>
        </w:rPr>
        <w:t>очетный работник общего образования Российской Федерации</w:t>
      </w:r>
    </w:p>
    <w:p w:rsidR="003E5315" w:rsidRDefault="0095201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Н.В.</w:t>
      </w:r>
      <w:r w:rsidRPr="00CF4AE1">
        <w:rPr>
          <w:rFonts w:ascii="Times New Roman" w:hAnsi="Times New Roman"/>
          <w:b/>
          <w:sz w:val="28"/>
          <w:szCs w:val="28"/>
        </w:rPr>
        <w:t>Левандовская</w:t>
      </w:r>
      <w:r>
        <w:rPr>
          <w:rFonts w:ascii="Times New Roman" w:hAnsi="Times New Roman"/>
          <w:sz w:val="28"/>
          <w:szCs w:val="28"/>
        </w:rPr>
        <w:t>, преподаватель Орловской детской школы изобразительных искусств и народных ремесел,</w:t>
      </w:r>
      <w:r w:rsidRPr="00CF4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народный мастер России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6960">
        <w:rPr>
          <w:rFonts w:ascii="Times New Roman" w:hAnsi="Times New Roman"/>
          <w:b/>
          <w:sz w:val="28"/>
          <w:szCs w:val="28"/>
        </w:rPr>
        <w:t>Н.И.</w:t>
      </w:r>
      <w:r w:rsidR="00CF4AE1" w:rsidRPr="00CF4AE1">
        <w:rPr>
          <w:rFonts w:ascii="Times New Roman" w:hAnsi="Times New Roman"/>
          <w:b/>
          <w:sz w:val="28"/>
          <w:szCs w:val="28"/>
        </w:rPr>
        <w:t>Троицкий</w:t>
      </w:r>
      <w:r w:rsidR="00C6053D">
        <w:rPr>
          <w:rFonts w:ascii="Times New Roman" w:hAnsi="Times New Roman"/>
          <w:sz w:val="28"/>
          <w:szCs w:val="28"/>
        </w:rPr>
        <w:t>, п</w:t>
      </w:r>
      <w:r w:rsidR="00866800">
        <w:rPr>
          <w:rFonts w:ascii="Times New Roman" w:hAnsi="Times New Roman"/>
          <w:sz w:val="28"/>
          <w:szCs w:val="28"/>
        </w:rPr>
        <w:t>реподаватель</w:t>
      </w:r>
      <w:r w:rsidR="003E5315">
        <w:rPr>
          <w:rFonts w:ascii="Times New Roman" w:hAnsi="Times New Roman"/>
          <w:sz w:val="28"/>
          <w:szCs w:val="28"/>
        </w:rPr>
        <w:t xml:space="preserve"> Орловской детской школы изобразитель</w:t>
      </w:r>
      <w:r w:rsidR="00C479A8">
        <w:rPr>
          <w:rFonts w:ascii="Times New Roman" w:hAnsi="Times New Roman"/>
          <w:sz w:val="28"/>
          <w:szCs w:val="28"/>
        </w:rPr>
        <w:t>ных искусств и народных ремесел</w:t>
      </w:r>
    </w:p>
    <w:p w:rsid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53D" w:rsidRPr="00616E8B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t xml:space="preserve">Главный редактор: </w:t>
      </w:r>
      <w:r w:rsidR="00AE6960">
        <w:rPr>
          <w:rFonts w:ascii="Times New Roman" w:hAnsi="Times New Roman"/>
          <w:b/>
          <w:sz w:val="28"/>
          <w:szCs w:val="28"/>
        </w:rPr>
        <w:t>И.Е.</w:t>
      </w:r>
      <w:r w:rsidRPr="00616E8B">
        <w:rPr>
          <w:rFonts w:ascii="Times New Roman" w:hAnsi="Times New Roman"/>
          <w:b/>
          <w:sz w:val="28"/>
          <w:szCs w:val="28"/>
        </w:rPr>
        <w:t>Домогацкая</w:t>
      </w:r>
      <w:r w:rsidRPr="00616E8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AE6960">
        <w:rPr>
          <w:rFonts w:ascii="Times New Roman" w:hAnsi="Times New Roman"/>
          <w:sz w:val="28"/>
          <w:szCs w:val="28"/>
        </w:rPr>
        <w:t>,</w:t>
      </w:r>
      <w:r w:rsidR="00C479A8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C6053D" w:rsidRPr="00616E8B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053D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AE6960">
        <w:rPr>
          <w:rFonts w:ascii="Times New Roman" w:hAnsi="Times New Roman"/>
          <w:b/>
          <w:sz w:val="28"/>
          <w:szCs w:val="28"/>
        </w:rPr>
        <w:t>О.И.</w:t>
      </w:r>
      <w:r w:rsidRPr="00616E8B">
        <w:rPr>
          <w:rFonts w:ascii="Times New Roman" w:hAnsi="Times New Roman"/>
          <w:b/>
          <w:sz w:val="28"/>
          <w:szCs w:val="28"/>
        </w:rPr>
        <w:t>Кожурина</w:t>
      </w:r>
      <w:r w:rsidRPr="00616E8B">
        <w:rPr>
          <w:rFonts w:ascii="Times New Roman" w:hAnsi="Times New Roman"/>
          <w:sz w:val="28"/>
          <w:szCs w:val="28"/>
        </w:rPr>
        <w:t xml:space="preserve">, преподаватель </w:t>
      </w:r>
      <w:r w:rsidR="00866C0A">
        <w:rPr>
          <w:rFonts w:ascii="Times New Roman" w:hAnsi="Times New Roman"/>
          <w:sz w:val="28"/>
          <w:szCs w:val="28"/>
        </w:rPr>
        <w:t xml:space="preserve">Колледжа имени Гнесиных </w:t>
      </w:r>
      <w:r w:rsidR="00772493" w:rsidRPr="00616E8B">
        <w:rPr>
          <w:rFonts w:ascii="Times New Roman" w:hAnsi="Times New Roman"/>
          <w:sz w:val="28"/>
          <w:szCs w:val="28"/>
        </w:rPr>
        <w:t>Российской академии музыки им</w:t>
      </w:r>
      <w:r w:rsidR="00772493">
        <w:rPr>
          <w:rFonts w:ascii="Times New Roman" w:hAnsi="Times New Roman"/>
          <w:sz w:val="28"/>
          <w:szCs w:val="28"/>
        </w:rPr>
        <w:t xml:space="preserve">ени Гнесиных </w:t>
      </w:r>
    </w:p>
    <w:p w:rsid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77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</w:t>
      </w:r>
      <w:r w:rsidR="00CF4AE1">
        <w:rPr>
          <w:rFonts w:ascii="Times New Roman" w:hAnsi="Times New Roman"/>
          <w:sz w:val="28"/>
          <w:szCs w:val="28"/>
        </w:rPr>
        <w:tab/>
      </w:r>
      <w:r w:rsidR="00C6053D">
        <w:rPr>
          <w:rFonts w:ascii="Times New Roman" w:hAnsi="Times New Roman"/>
          <w:sz w:val="28"/>
          <w:szCs w:val="28"/>
        </w:rPr>
        <w:t xml:space="preserve">: </w:t>
      </w:r>
    </w:p>
    <w:p w:rsidR="00CF4AE1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00">
        <w:rPr>
          <w:rFonts w:ascii="Times New Roman" w:hAnsi="Times New Roman"/>
          <w:b/>
          <w:sz w:val="28"/>
          <w:szCs w:val="28"/>
        </w:rPr>
        <w:t>В.Б.</w:t>
      </w:r>
      <w:r w:rsidR="00CF4AE1">
        <w:rPr>
          <w:rFonts w:ascii="Times New Roman" w:hAnsi="Times New Roman"/>
          <w:b/>
          <w:sz w:val="28"/>
          <w:szCs w:val="28"/>
        </w:rPr>
        <w:t>Фазлетдинов</w:t>
      </w:r>
      <w:r w:rsidR="00C6053D">
        <w:rPr>
          <w:rFonts w:ascii="Times New Roman" w:hAnsi="Times New Roman"/>
          <w:sz w:val="28"/>
          <w:szCs w:val="28"/>
        </w:rPr>
        <w:t>, п</w:t>
      </w:r>
      <w:r w:rsidR="00C479A8">
        <w:rPr>
          <w:rFonts w:ascii="Times New Roman" w:hAnsi="Times New Roman"/>
          <w:sz w:val="28"/>
          <w:szCs w:val="28"/>
        </w:rPr>
        <w:t xml:space="preserve">реподаватель </w:t>
      </w:r>
      <w:r w:rsidR="00CF4AE1">
        <w:rPr>
          <w:rFonts w:ascii="Times New Roman" w:hAnsi="Times New Roman"/>
          <w:sz w:val="28"/>
          <w:szCs w:val="28"/>
        </w:rPr>
        <w:t>С</w:t>
      </w:r>
      <w:r w:rsidR="00433B00">
        <w:rPr>
          <w:rFonts w:ascii="Times New Roman" w:hAnsi="Times New Roman"/>
          <w:sz w:val="28"/>
          <w:szCs w:val="28"/>
        </w:rPr>
        <w:t>вердловского художественного училища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CF4AE1">
        <w:rPr>
          <w:rFonts w:ascii="Times New Roman" w:hAnsi="Times New Roman"/>
          <w:sz w:val="28"/>
          <w:szCs w:val="28"/>
        </w:rPr>
        <w:t>И.Д.Шадра</w:t>
      </w:r>
    </w:p>
    <w:p w:rsidR="00CF4AE1" w:rsidRPr="00CF4AE1" w:rsidRDefault="00AE696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О.Ф.</w:t>
      </w:r>
      <w:r w:rsidR="00CF4AE1" w:rsidRPr="00CF4AE1">
        <w:rPr>
          <w:rFonts w:ascii="Times New Roman" w:hAnsi="Times New Roman"/>
          <w:b/>
          <w:sz w:val="28"/>
          <w:szCs w:val="28"/>
        </w:rPr>
        <w:t>Чернышова</w:t>
      </w:r>
      <w:r w:rsidR="00C6053D">
        <w:rPr>
          <w:rFonts w:ascii="Times New Roman" w:hAnsi="Times New Roman"/>
          <w:sz w:val="28"/>
          <w:szCs w:val="28"/>
        </w:rPr>
        <w:t>, з</w:t>
      </w:r>
      <w:r w:rsidR="003E12A8">
        <w:rPr>
          <w:rFonts w:ascii="Times New Roman" w:hAnsi="Times New Roman"/>
          <w:sz w:val="28"/>
          <w:szCs w:val="28"/>
        </w:rPr>
        <w:t>аведующая Д</w:t>
      </w:r>
      <w:r w:rsidR="00CF4AE1">
        <w:rPr>
          <w:rFonts w:ascii="Times New Roman" w:hAnsi="Times New Roman"/>
          <w:sz w:val="28"/>
          <w:szCs w:val="28"/>
        </w:rPr>
        <w:t>етск</w:t>
      </w:r>
      <w:r w:rsidR="00772493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художественн</w:t>
      </w:r>
      <w:r w:rsidR="00772493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школ</w:t>
      </w:r>
      <w:r w:rsidR="00952016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«Росток» при Палехском художественном училище им</w:t>
      </w:r>
      <w:r w:rsidR="00433B00">
        <w:rPr>
          <w:rFonts w:ascii="Times New Roman" w:hAnsi="Times New Roman"/>
          <w:sz w:val="28"/>
          <w:szCs w:val="28"/>
        </w:rPr>
        <w:t>ени</w:t>
      </w:r>
      <w:r w:rsidR="00CF4AE1">
        <w:rPr>
          <w:rFonts w:ascii="Times New Roman" w:hAnsi="Times New Roman"/>
          <w:sz w:val="28"/>
          <w:szCs w:val="28"/>
        </w:rPr>
        <w:t xml:space="preserve"> М.Горького, </w:t>
      </w:r>
      <w:r w:rsidR="00866800">
        <w:rPr>
          <w:rFonts w:ascii="Times New Roman" w:hAnsi="Times New Roman"/>
          <w:sz w:val="28"/>
          <w:szCs w:val="28"/>
        </w:rPr>
        <w:t>п</w:t>
      </w:r>
      <w:r w:rsidR="00C479A8">
        <w:rPr>
          <w:rFonts w:ascii="Times New Roman" w:hAnsi="Times New Roman"/>
          <w:sz w:val="28"/>
          <w:szCs w:val="28"/>
        </w:rPr>
        <w:t>реподаватель</w:t>
      </w:r>
    </w:p>
    <w:p w:rsidR="00CF4AE1" w:rsidRP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47D" w:rsidRDefault="0013047D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AE1" w:rsidRDefault="00CF4AE1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894685" w:rsidRPr="00894685" w:rsidRDefault="00894685" w:rsidP="009D147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 с 5(6)-летним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1-3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>
        <w:rPr>
          <w:rFonts w:ascii="Times New Roman" w:hAnsi="Times New Roman"/>
          <w:sz w:val="28"/>
          <w:szCs w:val="28"/>
        </w:rPr>
        <w:t>в 4-</w:t>
      </w:r>
      <w:r w:rsidR="00296F98">
        <w:rPr>
          <w:rFonts w:ascii="Times New Roman" w:hAnsi="Times New Roman"/>
          <w:sz w:val="28"/>
          <w:szCs w:val="28"/>
        </w:rPr>
        <w:t xml:space="preserve">5 классах – 4 часа, в </w:t>
      </w:r>
      <w:r>
        <w:rPr>
          <w:rFonts w:ascii="Times New Roman" w:hAnsi="Times New Roman"/>
          <w:sz w:val="28"/>
          <w:szCs w:val="28"/>
        </w:rPr>
        <w:t>6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в 3-6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– 4 часа, в </w:t>
      </w:r>
      <w:r>
        <w:rPr>
          <w:rFonts w:ascii="Times New Roman" w:hAnsi="Times New Roman"/>
          <w:sz w:val="28"/>
          <w:szCs w:val="28"/>
        </w:rPr>
        <w:t>9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6-9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</w:t>
      </w:r>
      <w:r w:rsidR="008356EF">
        <w:rPr>
          <w:rFonts w:ascii="Times New Roman" w:hAnsi="Times New Roman"/>
          <w:sz w:val="28"/>
          <w:szCs w:val="28"/>
        </w:rPr>
        <w:t xml:space="preserve">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6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1188 часов, в том числе аудиторные занятия - 660 часов, самостоятельная работа - 528 часа</w:t>
      </w:r>
      <w:r w:rsidR="009C5911">
        <w:rPr>
          <w:rFonts w:ascii="Times New Roman" w:hAnsi="Times New Roman"/>
          <w:sz w:val="28"/>
        </w:rPr>
        <w:t>.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14621D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14621D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>
        <w:tc>
          <w:tcPr>
            <w:tcW w:w="1800" w:type="dxa"/>
            <w:shd w:val="clear" w:color="auto" w:fill="auto"/>
          </w:tcPr>
          <w:p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</w:p>
        </w:tc>
        <w:tc>
          <w:tcPr>
            <w:tcW w:w="708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Default="00FD1C2D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6 лет</w:t>
      </w:r>
    </w:p>
    <w:p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>
        <w:tc>
          <w:tcPr>
            <w:tcW w:w="1800" w:type="dxa"/>
            <w:shd w:val="clear" w:color="auto" w:fill="auto"/>
          </w:tcPr>
          <w:p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3468C8" w:rsidRDefault="003468C8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7E519D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5 лет и 6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1 - 3 классы – по 3 часа в неделю;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4 - 5 классы – по 4 часа в неделю;</w:t>
      </w:r>
    </w:p>
    <w:p w:rsidR="00542D0B" w:rsidRPr="00542D0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lastRenderedPageBreak/>
        <w:t xml:space="preserve">     6 - класс – по 3 часа в нед</w:t>
      </w:r>
      <w:r w:rsidR="00510125">
        <w:rPr>
          <w:rFonts w:ascii="Times New Roman" w:hAnsi="Times New Roman"/>
          <w:sz w:val="28"/>
          <w:szCs w:val="28"/>
        </w:rPr>
        <w:t>елю.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1 – 2 классы – по 2 часа в неделю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3 – 6 классы – по 3 часа в неделю.</w:t>
      </w:r>
    </w:p>
    <w:p w:rsidR="00542D0B" w:rsidRPr="00542D0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8 лет и 9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</w:t>
      </w:r>
      <w:r w:rsidR="00510125">
        <w:rPr>
          <w:rFonts w:ascii="Times New Roman" w:hAnsi="Times New Roman"/>
          <w:sz w:val="28"/>
          <w:szCs w:val="28"/>
        </w:rPr>
        <w:t xml:space="preserve"> 9 - класс – по 3 часа в неделю.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2D0B" w:rsidRPr="00542D0B">
        <w:rPr>
          <w:rFonts w:ascii="Times New Roman" w:hAnsi="Times New Roman"/>
          <w:sz w:val="28"/>
          <w:szCs w:val="28"/>
        </w:rPr>
        <w:t xml:space="preserve"> – 9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 xml:space="preserve">одготовка одаренных детей к поступлению в образовательные учреждения, реализующие </w:t>
      </w:r>
      <w:r w:rsidR="00AE79E6" w:rsidRPr="00AE79E6"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 xml:space="preserve">Содержание </w:t>
      </w:r>
      <w:r w:rsidRPr="00A776F0">
        <w:rPr>
          <w:rFonts w:ascii="Times New Roman" w:hAnsi="Times New Roman"/>
          <w:sz w:val="28"/>
          <w:szCs w:val="28"/>
        </w:rPr>
        <w:lastRenderedPageBreak/>
        <w:t>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 xml:space="preserve">происходит ознакомление с основами </w:t>
      </w:r>
      <w:r w:rsidR="00AE43FD">
        <w:rPr>
          <w:rFonts w:ascii="Times New Roman" w:hAnsi="Times New Roman"/>
          <w:sz w:val="28"/>
          <w:szCs w:val="28"/>
        </w:rPr>
        <w:lastRenderedPageBreak/>
        <w:t>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 xml:space="preserve">ие изобразительные </w:t>
            </w:r>
            <w:r w:rsidR="00D3405E">
              <w:rPr>
                <w:rStyle w:val="FontStyle164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81E91" w:rsidRPr="009A776E" w:rsidRDefault="003F4C5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Шестой </w:t>
      </w:r>
      <w:r w:rsidR="00381E9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(обрубовка)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3F4C5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5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(обрубовка) с поворотом в три че</w:t>
            </w:r>
            <w:r>
              <w:rPr>
                <w:rFonts w:ascii="Times New Roman" w:hAnsi="Times New Roman"/>
                <w:sz w:val="28"/>
                <w:szCs w:val="28"/>
              </w:rPr>
              <w:t>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D6E3F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</w:t>
      </w:r>
      <w:r w:rsidRPr="00AB3AF0">
        <w:rPr>
          <w:rFonts w:ascii="Times New Roman" w:hAnsi="Times New Roman"/>
          <w:sz w:val="28"/>
          <w:szCs w:val="28"/>
        </w:rPr>
        <w:lastRenderedPageBreak/>
        <w:t xml:space="preserve">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  <w:r w:rsidR="003F4C53">
        <w:rPr>
          <w:rStyle w:val="FontStyle164"/>
          <w:b/>
          <w:sz w:val="28"/>
          <w:szCs w:val="28"/>
        </w:rPr>
        <w:t xml:space="preserve"> 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161050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А4.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Формат А4.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Рисование упражнений в связи с темой задания. Линейный рисунок прямоугольного и квадратного листа бумаги в вертикальном и </w:t>
      </w:r>
      <w:r w:rsidRPr="00AB3AF0">
        <w:rPr>
          <w:rFonts w:ascii="Times New Roman" w:hAnsi="Times New Roman"/>
          <w:sz w:val="28"/>
          <w:szCs w:val="28"/>
        </w:rPr>
        <w:lastRenderedPageBreak/>
        <w:t>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</w:t>
      </w:r>
      <w:r w:rsidRPr="00AB3AF0">
        <w:rPr>
          <w:rStyle w:val="FontStyle164"/>
          <w:sz w:val="28"/>
          <w:szCs w:val="28"/>
        </w:rPr>
        <w:lastRenderedPageBreak/>
        <w:t xml:space="preserve">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</w:t>
      </w:r>
      <w:r w:rsidRPr="00AB3AF0">
        <w:rPr>
          <w:rFonts w:ascii="Times New Roman" w:eastAsia="Arial CYR" w:hAnsi="Times New Roman"/>
          <w:sz w:val="28"/>
          <w:szCs w:val="28"/>
        </w:rPr>
        <w:lastRenderedPageBreak/>
        <w:t>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А4.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всего материала, пройденного в 3 классе. Грамотная компоновка натюрморта в листе. Построение предметов с учетом перспективных </w:t>
      </w:r>
      <w:r w:rsidRPr="00AB3AF0">
        <w:rPr>
          <w:rStyle w:val="FontStyle164"/>
          <w:sz w:val="28"/>
          <w:szCs w:val="28"/>
        </w:rPr>
        <w:lastRenderedPageBreak/>
        <w:t>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77CA7">
        <w:rPr>
          <w:rFonts w:eastAsia="Arial CYR"/>
          <w:sz w:val="28"/>
          <w:szCs w:val="28"/>
        </w:rPr>
        <w:t>2</w:t>
      </w:r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</w:t>
      </w:r>
      <w:r w:rsidRPr="00A77CA7">
        <w:rPr>
          <w:rStyle w:val="FontStyle164"/>
          <w:sz w:val="28"/>
          <w:szCs w:val="28"/>
        </w:rPr>
        <w:lastRenderedPageBreak/>
        <w:t xml:space="preserve">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А2.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B3AF0">
        <w:rPr>
          <w:rFonts w:eastAsia="Arial CYR"/>
          <w:sz w:val="28"/>
          <w:szCs w:val="28"/>
        </w:rPr>
        <w:t>2</w:t>
      </w:r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А4.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</w:t>
      </w:r>
      <w:r w:rsidRPr="00AB3AF0">
        <w:rPr>
          <w:rStyle w:val="FontStyle164"/>
          <w:sz w:val="28"/>
          <w:szCs w:val="28"/>
        </w:rPr>
        <w:lastRenderedPageBreak/>
        <w:t>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А4.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</w:t>
      </w:r>
      <w:r w:rsidRPr="00AB3AF0">
        <w:rPr>
          <w:rStyle w:val="FontStyle164"/>
          <w:sz w:val="28"/>
          <w:szCs w:val="28"/>
        </w:rPr>
        <w:lastRenderedPageBreak/>
        <w:t xml:space="preserve">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А2,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А2. Материал – графитный карандаш. </w:t>
      </w:r>
    </w:p>
    <w:p w:rsidR="00437A96" w:rsidRPr="004D1108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</w:t>
      </w:r>
      <w:r w:rsidRPr="00AB3AF0">
        <w:rPr>
          <w:rStyle w:val="FontStyle164"/>
          <w:sz w:val="28"/>
          <w:szCs w:val="28"/>
        </w:rPr>
        <w:lastRenderedPageBreak/>
        <w:t>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</w:t>
      </w:r>
      <w:r w:rsidRPr="00AB3AF0">
        <w:rPr>
          <w:rStyle w:val="FontStyle164"/>
          <w:sz w:val="28"/>
          <w:szCs w:val="28"/>
        </w:rPr>
        <w:lastRenderedPageBreak/>
        <w:t>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 xml:space="preserve">Зарисовка головы человека (обрубовка).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</w:t>
      </w:r>
      <w:r w:rsidRPr="00893218">
        <w:rPr>
          <w:rStyle w:val="FontStyle164"/>
          <w:sz w:val="28"/>
          <w:szCs w:val="28"/>
        </w:rPr>
        <w:lastRenderedPageBreak/>
        <w:t>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2A4136" w:rsidRPr="004D1108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Шестой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</w:t>
      </w:r>
      <w:r w:rsidRPr="00AB3AF0">
        <w:rPr>
          <w:rStyle w:val="FontStyle164"/>
          <w:sz w:val="28"/>
          <w:szCs w:val="28"/>
        </w:rPr>
        <w:lastRenderedPageBreak/>
        <w:t>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Рисунок гипсовой головы (обрубовка)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(обрубовка)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конструктивный рисунок обрубовки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трехмерность черепа, конструктивные </w:t>
      </w:r>
      <w:r w:rsidRPr="00AB3AF0">
        <w:rPr>
          <w:rStyle w:val="FontStyle164"/>
          <w:sz w:val="28"/>
          <w:szCs w:val="28"/>
        </w:rPr>
        <w:lastRenderedPageBreak/>
        <w:t>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головы человека (обрубовка).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(обрубовка)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конструктивный рисунок обрубовки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 xml:space="preserve"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</w:t>
      </w:r>
      <w:r w:rsidRPr="00AB3AF0">
        <w:rPr>
          <w:rFonts w:ascii="Times New Roman" w:hAnsi="Times New Roman"/>
          <w:sz w:val="28"/>
          <w:szCs w:val="28"/>
        </w:rPr>
        <w:lastRenderedPageBreak/>
        <w:t>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D31914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</w:t>
      </w:r>
      <w:r w:rsidR="001C280B" w:rsidRPr="001C280B">
        <w:rPr>
          <w:rFonts w:ascii="Times New Roman" w:hAnsi="Times New Roman"/>
          <w:sz w:val="28"/>
          <w:szCs w:val="28"/>
        </w:rPr>
        <w:lastRenderedPageBreak/>
        <w:t>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lastRenderedPageBreak/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>Анциферов, Л.Г. Анциферова, Т.Н. Кисляковская</w:t>
      </w:r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6D91" w:rsidRPr="00DA45CF">
        <w:rPr>
          <w:rFonts w:ascii="Times New Roman" w:hAnsi="Times New Roman"/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6D91" w:rsidRPr="00DA45CF">
        <w:rPr>
          <w:rFonts w:ascii="Times New Roman" w:hAnsi="Times New Roman"/>
          <w:sz w:val="28"/>
          <w:szCs w:val="28"/>
        </w:rPr>
        <w:t>Ватагин В. Изображение животных. М., 1957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Учеб.</w:t>
      </w:r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учащихся пед. уч-щ по спец. № 2002 «Дошкол.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дошкол.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перераб.-М.: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Эксмо,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>М.: Гуманитар.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Минск: Харвест,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для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>2-е изд., перераб.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Изобраз.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9C6D91" w:rsidRPr="00DA45CF">
        <w:rPr>
          <w:rFonts w:ascii="Times New Roman" w:hAnsi="Times New Roman"/>
          <w:sz w:val="28"/>
          <w:szCs w:val="28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lastRenderedPageBreak/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«Владос»,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«Владос»,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r w:rsidR="007575F0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B838EA" w:rsidRPr="00A01857" w:rsidSect="004D1108">
      <w:footerReference w:type="even" r:id="rId9"/>
      <w:footerReference w:type="default" r:id="rId10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6FB" w:rsidRDefault="007846FB">
      <w:r>
        <w:separator/>
      </w:r>
    </w:p>
  </w:endnote>
  <w:endnote w:type="continuationSeparator" w:id="1">
    <w:p w:rsidR="007846FB" w:rsidRDefault="0078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63" w:rsidRDefault="001B5C63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5C63" w:rsidRDefault="001B5C63" w:rsidP="00E512D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5636"/>
    </w:sdtPr>
    <w:sdtContent>
      <w:p w:rsidR="001B5C63" w:rsidRDefault="001B5C63">
        <w:pPr>
          <w:pStyle w:val="a9"/>
          <w:jc w:val="center"/>
        </w:pPr>
        <w:fldSimple w:instr=" PAGE   \* MERGEFORMAT ">
          <w:r w:rsidR="009D7A00">
            <w:rPr>
              <w:noProof/>
            </w:rPr>
            <w:t>46</w:t>
          </w:r>
        </w:fldSimple>
      </w:p>
    </w:sdtContent>
  </w:sdt>
  <w:p w:rsidR="001B5C63" w:rsidRDefault="001B5C63" w:rsidP="00E512D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6FB" w:rsidRDefault="007846FB">
      <w:r>
        <w:separator/>
      </w:r>
    </w:p>
  </w:footnote>
  <w:footnote w:type="continuationSeparator" w:id="1">
    <w:p w:rsidR="007846FB" w:rsidRDefault="0078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zSjiJ65eA4cfY4SAE4kOblAZtYQ=" w:salt="8IYK1sk/stjX0ktaLhZITg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B5C63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07ED0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259C"/>
    <w:rsid w:val="006F6144"/>
    <w:rsid w:val="006F744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846FB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D7A00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4058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03F8-4C45-4617-B87D-4391FCEF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46</Pages>
  <Words>9570</Words>
  <Characters>54549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БОУ ДО ДШИ № 6</cp:lastModifiedBy>
  <cp:revision>29</cp:revision>
  <cp:lastPrinted>2012-11-08T09:41:00Z</cp:lastPrinted>
  <dcterms:created xsi:type="dcterms:W3CDTF">2013-02-11T11:57:00Z</dcterms:created>
  <dcterms:modified xsi:type="dcterms:W3CDTF">2018-01-26T10:33:00Z</dcterms:modified>
</cp:coreProperties>
</file>